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A829F" w14:textId="5FA87B19" w:rsidR="000476E4" w:rsidRPr="00DC012D" w:rsidRDefault="000476E4" w:rsidP="000476E4">
      <w:pPr>
        <w:spacing w:before="120" w:after="200" w:line="276" w:lineRule="auto"/>
        <w:ind w:left="7082"/>
        <w:contextualSpacing/>
        <w:jc w:val="right"/>
        <w:rPr>
          <w:rFonts w:ascii="Arial" w:eastAsia="Calibri" w:hAnsi="Arial" w:cs="Arial"/>
          <w:bCs/>
          <w:i/>
          <w:sz w:val="24"/>
          <w:szCs w:val="22"/>
          <w:lang w:eastAsia="en-US"/>
        </w:rPr>
      </w:pPr>
      <w:r w:rsidRPr="00DC012D">
        <w:rPr>
          <w:rFonts w:ascii="Arial" w:eastAsia="Calibri" w:hAnsi="Arial" w:cs="Arial"/>
          <w:bCs/>
          <w:i/>
          <w:sz w:val="24"/>
          <w:szCs w:val="22"/>
          <w:lang w:eastAsia="en-US"/>
        </w:rPr>
        <w:t>1. számú melléklet</w:t>
      </w:r>
    </w:p>
    <w:p w14:paraId="6741C1C3" w14:textId="77777777" w:rsidR="000476E4" w:rsidRPr="00DC012D" w:rsidRDefault="000476E4" w:rsidP="000476E4">
      <w:pPr>
        <w:pStyle w:val="lfej"/>
        <w:rPr>
          <w:rFonts w:ascii="Arial" w:hAnsi="Arial" w:cs="Arial"/>
          <w:b/>
          <w:bCs/>
          <w:sz w:val="28"/>
          <w:szCs w:val="28"/>
        </w:rPr>
      </w:pPr>
    </w:p>
    <w:p w14:paraId="60B331ED" w14:textId="4A670185" w:rsidR="000476E4" w:rsidRPr="003C6A32" w:rsidRDefault="000476E4" w:rsidP="000476E4">
      <w:pPr>
        <w:pStyle w:val="lfej"/>
        <w:jc w:val="center"/>
        <w:rPr>
          <w:rFonts w:ascii="Arial" w:hAnsi="Arial" w:cs="Arial"/>
          <w:b/>
          <w:bCs/>
          <w:sz w:val="22"/>
          <w:szCs w:val="22"/>
        </w:rPr>
      </w:pPr>
      <w:r w:rsidRPr="003C6A32">
        <w:rPr>
          <w:rFonts w:ascii="Arial" w:hAnsi="Arial" w:cs="Arial"/>
          <w:b/>
          <w:bCs/>
          <w:sz w:val="22"/>
          <w:szCs w:val="22"/>
        </w:rPr>
        <w:t>Felelős Foglalkoztatást érintő lehetséges tématerületek</w:t>
      </w:r>
    </w:p>
    <w:p w14:paraId="558F3401" w14:textId="4A6A60F2" w:rsidR="000476E4" w:rsidRPr="003C6A32" w:rsidRDefault="000476E4" w:rsidP="000476E4">
      <w:pPr>
        <w:pStyle w:val="lfej"/>
        <w:jc w:val="center"/>
        <w:rPr>
          <w:rFonts w:ascii="Arial" w:hAnsi="Arial" w:cs="Arial"/>
          <w:b/>
          <w:bCs/>
          <w:sz w:val="22"/>
          <w:szCs w:val="22"/>
        </w:rPr>
      </w:pPr>
    </w:p>
    <w:p w14:paraId="71CADB35" w14:textId="371D933D" w:rsidR="000476E4" w:rsidRPr="003C6A32" w:rsidRDefault="000476E4" w:rsidP="000476E4">
      <w:pPr>
        <w:pStyle w:val="Listaszerbekezds"/>
        <w:rPr>
          <w:rFonts w:ascii="Arial" w:hAnsi="Arial" w:cs="Arial"/>
          <w:b/>
          <w:color w:val="11BAAA"/>
          <w:lang w:eastAsia="en-US"/>
        </w:rPr>
      </w:pPr>
    </w:p>
    <w:p w14:paraId="0E488016" w14:textId="77777777" w:rsidR="000476E4" w:rsidRPr="003C6A32" w:rsidRDefault="000476E4" w:rsidP="000476E4">
      <w:pPr>
        <w:pStyle w:val="lfej"/>
        <w:spacing w:line="276" w:lineRule="auto"/>
        <w:rPr>
          <w:rFonts w:ascii="Arial" w:hAnsi="Arial" w:cs="Arial"/>
          <w:sz w:val="22"/>
          <w:szCs w:val="22"/>
        </w:rPr>
      </w:pPr>
      <w:bookmarkStart w:id="0" w:name="_Hlk136423964"/>
      <w:r w:rsidRPr="003C6A32">
        <w:rPr>
          <w:rFonts w:ascii="Arial" w:hAnsi="Arial" w:cs="Arial"/>
          <w:sz w:val="22"/>
          <w:szCs w:val="22"/>
        </w:rPr>
        <w:t xml:space="preserve">Felhívjuk a szíves figyelmet, hogy az alábbi témák csupán iránymutatásként szolgálnak, nem feltétel a felsorolt valamennyi témakörbe tartozó tevékenység egy szervezeten belüli megléte. A pályázati anyag összpontosuljon legalább egy-három témakörre, jó gyakorlat bemutatására. </w:t>
      </w:r>
    </w:p>
    <w:p w14:paraId="0E667AFA" w14:textId="77777777" w:rsidR="000476E4" w:rsidRPr="003C6A32" w:rsidRDefault="000476E4" w:rsidP="000476E4">
      <w:pPr>
        <w:pStyle w:val="lfej"/>
        <w:spacing w:line="276" w:lineRule="auto"/>
        <w:rPr>
          <w:rFonts w:ascii="Arial" w:hAnsi="Arial" w:cs="Arial"/>
          <w:sz w:val="22"/>
          <w:szCs w:val="22"/>
        </w:rPr>
      </w:pPr>
    </w:p>
    <w:p w14:paraId="0C887807" w14:textId="77777777" w:rsidR="000476E4" w:rsidRPr="003C6A32" w:rsidRDefault="000476E4" w:rsidP="000476E4">
      <w:pPr>
        <w:pStyle w:val="lfej"/>
        <w:spacing w:line="276" w:lineRule="auto"/>
        <w:rPr>
          <w:rFonts w:ascii="Arial" w:hAnsi="Arial" w:cs="Arial"/>
          <w:sz w:val="22"/>
          <w:szCs w:val="22"/>
        </w:rPr>
      </w:pPr>
      <w:r w:rsidRPr="003C6A32">
        <w:rPr>
          <w:rFonts w:ascii="Arial" w:hAnsi="Arial" w:cs="Arial"/>
          <w:sz w:val="22"/>
          <w:szCs w:val="22"/>
        </w:rPr>
        <w:t xml:space="preserve"> </w:t>
      </w:r>
    </w:p>
    <w:p w14:paraId="6A7168A7" w14:textId="77777777" w:rsidR="000476E4" w:rsidRPr="003C6A32" w:rsidRDefault="000476E4" w:rsidP="000476E4">
      <w:pPr>
        <w:pStyle w:val="lfej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Hlk136350770"/>
      <w:bookmarkEnd w:id="0"/>
      <w:r w:rsidRPr="003C6A32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1ABF88C1" wp14:editId="40EE0D0F">
            <wp:extent cx="5499100" cy="3213100"/>
            <wp:effectExtent l="0" t="0" r="6350" b="6350"/>
            <wp:docPr id="507779982" name="Kép 1" descr="A képen szöveg, képernyőkép, Betűtípus, szám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779982" name="Kép 1" descr="A képen szöveg, képernyőkép, Betűtípus, szám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C8ACC8" w14:textId="77777777" w:rsidR="000476E4" w:rsidRPr="003C6A32" w:rsidRDefault="000476E4" w:rsidP="000476E4">
      <w:pPr>
        <w:pStyle w:val="lfej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bookmarkEnd w:id="1"/>
    <w:p w14:paraId="7C992D86" w14:textId="42C8F2D4" w:rsidR="000476E4" w:rsidRPr="003C6A32" w:rsidRDefault="000476E4" w:rsidP="000476E4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3C6A32">
        <w:rPr>
          <w:rFonts w:ascii="Arial" w:eastAsia="Arial" w:hAnsi="Arial" w:cs="Arial"/>
          <w:b/>
          <w:sz w:val="22"/>
          <w:szCs w:val="22"/>
        </w:rPr>
        <w:t>1. Törekvés az emberekbe való befektetésre</w:t>
      </w:r>
    </w:p>
    <w:p w14:paraId="1B7468B7" w14:textId="77777777" w:rsidR="000476E4" w:rsidRPr="003C6A32" w:rsidRDefault="000476E4" w:rsidP="000476E4">
      <w:pPr>
        <w:spacing w:after="160" w:line="259" w:lineRule="auto"/>
        <w:jc w:val="left"/>
        <w:rPr>
          <w:rFonts w:ascii="Arial" w:eastAsia="Arial" w:hAnsi="Arial" w:cs="Arial"/>
          <w:sz w:val="22"/>
          <w:szCs w:val="22"/>
        </w:rPr>
      </w:pPr>
    </w:p>
    <w:p w14:paraId="5BE1F1D8" w14:textId="77777777" w:rsidR="000476E4" w:rsidRPr="003C6A32" w:rsidRDefault="000476E4" w:rsidP="000476E4">
      <w:pPr>
        <w:spacing w:after="160" w:line="276" w:lineRule="auto"/>
        <w:jc w:val="left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b/>
          <w:sz w:val="22"/>
          <w:szCs w:val="22"/>
        </w:rPr>
        <w:t>Béren kívüli juttatások</w:t>
      </w:r>
    </w:p>
    <w:p w14:paraId="0607E29C" w14:textId="34AE6D5D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sz w:val="22"/>
          <w:szCs w:val="22"/>
        </w:rPr>
        <w:t>A béren kívüli juttatások egyedi, illetve kollektív eszközei szoros mutatói lehetnek az „emberbe való befektetés” alapelv érvényesülésének. A béren kívüli juttatásoknak is lehet</w:t>
      </w:r>
      <w:r w:rsidR="007477B0" w:rsidRPr="003C6A32">
        <w:rPr>
          <w:rFonts w:ascii="Arial" w:eastAsia="Arial" w:hAnsi="Arial" w:cs="Arial"/>
          <w:sz w:val="22"/>
          <w:szCs w:val="22"/>
        </w:rPr>
        <w:t>nek</w:t>
      </w:r>
      <w:r w:rsidRPr="003C6A32">
        <w:rPr>
          <w:rFonts w:ascii="Arial" w:eastAsia="Arial" w:hAnsi="Arial" w:cs="Arial"/>
          <w:sz w:val="22"/>
          <w:szCs w:val="22"/>
        </w:rPr>
        <w:t xml:space="preserve"> természetesen anyagi </w:t>
      </w:r>
      <w:r w:rsidR="007477B0" w:rsidRPr="003C6A32">
        <w:rPr>
          <w:rFonts w:ascii="Arial" w:eastAsia="Arial" w:hAnsi="Arial" w:cs="Arial"/>
          <w:sz w:val="22"/>
          <w:szCs w:val="22"/>
        </w:rPr>
        <w:t>formái</w:t>
      </w:r>
      <w:r w:rsidRPr="003C6A32">
        <w:rPr>
          <w:rFonts w:ascii="Arial" w:eastAsia="Arial" w:hAnsi="Arial" w:cs="Arial"/>
          <w:sz w:val="22"/>
          <w:szCs w:val="22"/>
        </w:rPr>
        <w:t>, például: jutalom, prémium, bónusz, jutalék, kompenzáció, iskoláztatási támogatás, „pulykapénz”, lakáshitel támogatás, bölcsőde/óvodai támogatás, mobilitási célú lakhatási támogatás, egészségpénztár vagy nyugdíjpénztár hozzájárulás, Széchenyi Pihenőkártya stb., de lehet</w:t>
      </w:r>
      <w:r w:rsidR="004C4367" w:rsidRPr="003C6A32">
        <w:rPr>
          <w:rFonts w:ascii="Arial" w:eastAsia="Arial" w:hAnsi="Arial" w:cs="Arial"/>
          <w:sz w:val="22"/>
          <w:szCs w:val="22"/>
        </w:rPr>
        <w:t>nek</w:t>
      </w:r>
      <w:r w:rsidRPr="003C6A32">
        <w:rPr>
          <w:rFonts w:ascii="Arial" w:eastAsia="Arial" w:hAnsi="Arial" w:cs="Arial"/>
          <w:sz w:val="22"/>
          <w:szCs w:val="22"/>
        </w:rPr>
        <w:t xml:space="preserve"> nem pénzbeli</w:t>
      </w:r>
      <w:r w:rsidR="004C4367" w:rsidRPr="003C6A32">
        <w:rPr>
          <w:rFonts w:ascii="Arial" w:eastAsia="Arial" w:hAnsi="Arial" w:cs="Arial"/>
          <w:sz w:val="22"/>
          <w:szCs w:val="22"/>
        </w:rPr>
        <w:t xml:space="preserve"> formái</w:t>
      </w:r>
      <w:r w:rsidRPr="003C6A32">
        <w:rPr>
          <w:rFonts w:ascii="Arial" w:eastAsia="Arial" w:hAnsi="Arial" w:cs="Arial"/>
          <w:sz w:val="22"/>
          <w:szCs w:val="22"/>
        </w:rPr>
        <w:t xml:space="preserve"> is. A kulturális belépő, a sportrendezvény belépő, ajándékutalvány, munkahelyi étkezés, helyi bérlet biztosítása, továbbá kockázati biztosítás megkötése mind olyan elemek, amelyek jó gyakorlatként elősegítik a munkavállalóba való b</w:t>
      </w:r>
      <w:r w:rsidR="00632218">
        <w:rPr>
          <w:rFonts w:ascii="Arial" w:eastAsia="Arial" w:hAnsi="Arial" w:cs="Arial"/>
          <w:sz w:val="22"/>
          <w:szCs w:val="22"/>
        </w:rPr>
        <w:t>eruházást</w:t>
      </w:r>
      <w:r w:rsidRPr="003C6A32">
        <w:rPr>
          <w:rFonts w:ascii="Arial" w:eastAsia="Arial" w:hAnsi="Arial" w:cs="Arial"/>
          <w:sz w:val="22"/>
          <w:szCs w:val="22"/>
        </w:rPr>
        <w:t>.</w:t>
      </w:r>
    </w:p>
    <w:p w14:paraId="778D26CD" w14:textId="77777777" w:rsidR="000476E4" w:rsidRPr="003C6A32" w:rsidRDefault="000476E4" w:rsidP="000476E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D168626" w14:textId="77777777" w:rsidR="000476E4" w:rsidRPr="003C6A32" w:rsidRDefault="000476E4" w:rsidP="000476E4">
      <w:pPr>
        <w:spacing w:line="276" w:lineRule="auto"/>
        <w:rPr>
          <w:rFonts w:ascii="Arial" w:eastAsia="Arial" w:hAnsi="Arial" w:cs="Arial"/>
          <w:b/>
          <w:sz w:val="22"/>
          <w:szCs w:val="22"/>
        </w:rPr>
      </w:pPr>
      <w:r w:rsidRPr="003C6A32">
        <w:rPr>
          <w:rFonts w:ascii="Arial" w:eastAsia="Arial" w:hAnsi="Arial" w:cs="Arial"/>
          <w:b/>
          <w:sz w:val="22"/>
          <w:szCs w:val="22"/>
        </w:rPr>
        <w:t>Tudástranszfer</w:t>
      </w:r>
    </w:p>
    <w:p w14:paraId="64254D6C" w14:textId="6337D431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sz w:val="22"/>
          <w:szCs w:val="22"/>
        </w:rPr>
        <w:t xml:space="preserve">Az emberi erőforrásba való anyagi </w:t>
      </w:r>
      <w:r w:rsidR="00632218">
        <w:rPr>
          <w:rFonts w:ascii="Arial" w:eastAsia="Arial" w:hAnsi="Arial" w:cs="Arial"/>
          <w:sz w:val="22"/>
          <w:szCs w:val="22"/>
        </w:rPr>
        <w:t>ráfordítás</w:t>
      </w:r>
      <w:r w:rsidRPr="003C6A32">
        <w:rPr>
          <w:rFonts w:ascii="Arial" w:eastAsia="Arial" w:hAnsi="Arial" w:cs="Arial"/>
          <w:sz w:val="22"/>
          <w:szCs w:val="22"/>
        </w:rPr>
        <w:t xml:space="preserve"> mellett kiemelt szerepe van a felelős foglalkoztatóknál a jelenlegi, illetve a majdani munkaerő tudásába való </w:t>
      </w:r>
      <w:proofErr w:type="spellStart"/>
      <w:r w:rsidRPr="003C6A32">
        <w:rPr>
          <w:rFonts w:ascii="Arial" w:eastAsia="Arial" w:hAnsi="Arial" w:cs="Arial"/>
          <w:sz w:val="22"/>
          <w:szCs w:val="22"/>
        </w:rPr>
        <w:t>b</w:t>
      </w:r>
      <w:r w:rsidR="00632218">
        <w:rPr>
          <w:rFonts w:ascii="Arial" w:eastAsia="Arial" w:hAnsi="Arial" w:cs="Arial"/>
          <w:sz w:val="22"/>
          <w:szCs w:val="22"/>
        </w:rPr>
        <w:t>eruházásnak</w:t>
      </w:r>
      <w:r w:rsidRPr="003C6A32">
        <w:rPr>
          <w:rFonts w:ascii="Arial" w:eastAsia="Arial" w:hAnsi="Arial" w:cs="Arial"/>
          <w:sz w:val="22"/>
          <w:szCs w:val="22"/>
        </w:rPr>
        <w:t>k</w:t>
      </w:r>
      <w:proofErr w:type="spellEnd"/>
      <w:r w:rsidRPr="003C6A32">
        <w:rPr>
          <w:rFonts w:ascii="Arial" w:eastAsia="Arial" w:hAnsi="Arial" w:cs="Arial"/>
          <w:sz w:val="22"/>
          <w:szCs w:val="22"/>
        </w:rPr>
        <w:t>, illetve a tudástranszfer programok működtetésének. A magasabban képzett munkavállaló nemcsak magasabb hozzáadott értéket képes előállítani, számos más módon (innovatív javaslatokkal, kreatív megoldásokkal, alacsonyabb hibaaránnyal stb.) is segíti a</w:t>
      </w:r>
      <w:r w:rsidR="00632218">
        <w:rPr>
          <w:rFonts w:ascii="Arial" w:eastAsia="Arial" w:hAnsi="Arial" w:cs="Arial"/>
          <w:sz w:val="22"/>
          <w:szCs w:val="22"/>
        </w:rPr>
        <w:t>z invesztálás</w:t>
      </w:r>
      <w:r w:rsidRPr="003C6A32">
        <w:rPr>
          <w:rFonts w:ascii="Arial" w:eastAsia="Arial" w:hAnsi="Arial" w:cs="Arial"/>
          <w:sz w:val="22"/>
          <w:szCs w:val="22"/>
        </w:rPr>
        <w:t xml:space="preserve"> megtérülését, éppen ezért a felelős foglalkoztató törekszik a képzési, továbbképzési ösztönző rendszer kiépítésére, használatára, a munkavállalók általános kompetencia szintjének emelésére.</w:t>
      </w:r>
    </w:p>
    <w:p w14:paraId="06181E8D" w14:textId="77777777" w:rsidR="000476E4" w:rsidRPr="003C6A32" w:rsidRDefault="000476E4" w:rsidP="000476E4">
      <w:pPr>
        <w:spacing w:line="276" w:lineRule="auto"/>
        <w:rPr>
          <w:rFonts w:ascii="Arial" w:hAnsi="Arial" w:cs="Arial"/>
          <w:sz w:val="22"/>
          <w:szCs w:val="22"/>
        </w:rPr>
      </w:pPr>
    </w:p>
    <w:p w14:paraId="6658B36E" w14:textId="4C97D296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sz w:val="22"/>
          <w:szCs w:val="22"/>
        </w:rPr>
        <w:t>Ez sokféle formában nyilvánulhat meg,</w:t>
      </w:r>
      <w:r w:rsidR="00293557" w:rsidRPr="003C6A32">
        <w:rPr>
          <w:rFonts w:ascii="Arial" w:eastAsia="Arial" w:hAnsi="Arial" w:cs="Arial"/>
          <w:sz w:val="22"/>
          <w:szCs w:val="22"/>
        </w:rPr>
        <w:t xml:space="preserve"> így például</w:t>
      </w:r>
      <w:r w:rsidRPr="003C6A32">
        <w:rPr>
          <w:rFonts w:ascii="Arial" w:eastAsia="Arial" w:hAnsi="Arial" w:cs="Arial"/>
          <w:sz w:val="22"/>
          <w:szCs w:val="22"/>
        </w:rPr>
        <w:t xml:space="preserve"> belső képzésekkel vagy kompetencia fejlesztéssel, az idősebbek és a fiatalabbak között szervezett </w:t>
      </w:r>
      <w:proofErr w:type="spellStart"/>
      <w:r w:rsidRPr="003C6A32">
        <w:rPr>
          <w:rFonts w:ascii="Arial" w:eastAsia="Arial" w:hAnsi="Arial" w:cs="Arial"/>
          <w:sz w:val="22"/>
          <w:szCs w:val="22"/>
        </w:rPr>
        <w:t>kétirányú</w:t>
      </w:r>
      <w:proofErr w:type="spellEnd"/>
      <w:r w:rsidRPr="003C6A32">
        <w:rPr>
          <w:rFonts w:ascii="Arial" w:eastAsia="Arial" w:hAnsi="Arial" w:cs="Arial"/>
          <w:sz w:val="22"/>
          <w:szCs w:val="22"/>
        </w:rPr>
        <w:t xml:space="preserve"> tudástranszfer szolgáltatásokkal, külső képzők bevonásával, nyelvi képzésekkel, tematikus és általános életvezetést segítő tréningekkel stb.</w:t>
      </w:r>
    </w:p>
    <w:p w14:paraId="73E8633E" w14:textId="65EBE5FF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sz w:val="22"/>
          <w:szCs w:val="22"/>
        </w:rPr>
        <w:t>Fontos a szervezeti kultúra kialakítása, fejlesztése, melyben a munkatársak bizalommal fordul</w:t>
      </w:r>
      <w:r w:rsidR="007C0F03" w:rsidRPr="003C6A32">
        <w:rPr>
          <w:rFonts w:ascii="Arial" w:eastAsia="Arial" w:hAnsi="Arial" w:cs="Arial"/>
          <w:sz w:val="22"/>
          <w:szCs w:val="22"/>
        </w:rPr>
        <w:t>hat</w:t>
      </w:r>
      <w:r w:rsidRPr="003C6A32">
        <w:rPr>
          <w:rFonts w:ascii="Arial" w:eastAsia="Arial" w:hAnsi="Arial" w:cs="Arial"/>
          <w:sz w:val="22"/>
          <w:szCs w:val="22"/>
        </w:rPr>
        <w:t xml:space="preserve">nak vezetőikhez. Ennek többféle szintje lehet, pl. az új belépők képzési csomagjának összeállítása, de a vezetői workshopokat is fel lehet használni a </w:t>
      </w:r>
      <w:r w:rsidR="00817810" w:rsidRPr="003C6A32">
        <w:rPr>
          <w:rFonts w:ascii="Arial" w:eastAsia="Arial" w:hAnsi="Arial" w:cs="Arial"/>
          <w:sz w:val="22"/>
          <w:szCs w:val="22"/>
        </w:rPr>
        <w:t xml:space="preserve">szervezetnél </w:t>
      </w:r>
      <w:r w:rsidRPr="003C6A32">
        <w:rPr>
          <w:rFonts w:ascii="Arial" w:eastAsia="Arial" w:hAnsi="Arial" w:cs="Arial"/>
          <w:sz w:val="22"/>
          <w:szCs w:val="22"/>
        </w:rPr>
        <w:t>a kapcsolódó visszacsatolások és szükséges beavatkozások érdekében.</w:t>
      </w:r>
    </w:p>
    <w:p w14:paraId="35342B06" w14:textId="77777777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  <w:bookmarkStart w:id="2" w:name="_Toc69364228"/>
    </w:p>
    <w:bookmarkEnd w:id="2"/>
    <w:p w14:paraId="2D63556E" w14:textId="07795D96" w:rsidR="000476E4" w:rsidRPr="003C6A32" w:rsidRDefault="000476E4" w:rsidP="000476E4">
      <w:pPr>
        <w:spacing w:line="276" w:lineRule="auto"/>
        <w:rPr>
          <w:rFonts w:ascii="Arial" w:eastAsia="Arial" w:hAnsi="Arial" w:cs="Arial"/>
          <w:b/>
          <w:bCs/>
          <w:sz w:val="22"/>
          <w:szCs w:val="22"/>
        </w:rPr>
      </w:pPr>
      <w:r w:rsidRPr="003C6A32">
        <w:rPr>
          <w:rFonts w:ascii="Arial" w:eastAsia="Arial" w:hAnsi="Arial" w:cs="Arial"/>
          <w:b/>
          <w:bCs/>
          <w:sz w:val="22"/>
          <w:szCs w:val="22"/>
        </w:rPr>
        <w:t>2. Törekvés munkahelyi jól-lét megteremtésére</w:t>
      </w:r>
    </w:p>
    <w:p w14:paraId="56D1250A" w14:textId="77777777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3086E6CC" w14:textId="77777777" w:rsidR="000476E4" w:rsidRPr="003C6A32" w:rsidRDefault="000476E4" w:rsidP="000476E4">
      <w:pPr>
        <w:spacing w:line="276" w:lineRule="auto"/>
        <w:rPr>
          <w:rFonts w:ascii="Arial" w:eastAsia="Arial" w:hAnsi="Arial" w:cs="Arial"/>
          <w:b/>
          <w:sz w:val="22"/>
          <w:szCs w:val="22"/>
        </w:rPr>
      </w:pPr>
      <w:r w:rsidRPr="003C6A32">
        <w:rPr>
          <w:rFonts w:ascii="Arial" w:eastAsia="Arial" w:hAnsi="Arial" w:cs="Arial"/>
          <w:b/>
          <w:sz w:val="22"/>
          <w:szCs w:val="22"/>
        </w:rPr>
        <w:t>Munkakörnyezet fejlesztése</w:t>
      </w:r>
    </w:p>
    <w:p w14:paraId="4250E4BE" w14:textId="50DD3C2F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sz w:val="22"/>
          <w:szCs w:val="22"/>
        </w:rPr>
        <w:t xml:space="preserve">A </w:t>
      </w:r>
      <w:r w:rsidR="00881BC5" w:rsidRPr="003C6A32">
        <w:rPr>
          <w:rFonts w:ascii="Arial" w:eastAsia="Arial" w:hAnsi="Arial" w:cs="Arial"/>
          <w:sz w:val="22"/>
          <w:szCs w:val="22"/>
        </w:rPr>
        <w:t xml:space="preserve">jelenlegi hatályos </w:t>
      </w:r>
      <w:r w:rsidRPr="003C6A32">
        <w:rPr>
          <w:rFonts w:ascii="Arial" w:eastAsia="Arial" w:hAnsi="Arial" w:cs="Arial"/>
          <w:sz w:val="22"/>
          <w:szCs w:val="22"/>
        </w:rPr>
        <w:t xml:space="preserve">jogszabályok nem szólnak a munkakörnyezet „élmény szintjéről” komfortosságáról, a használandó anyagok és megoldások újszerűségéről. Számos olyan munkakörnyezetet befolyásoló tényező van, amely a munkavállalók komfortfokozatát növeli. A felelős foglalkoztató ezen a területen sokat tehet, számos jó gyakorlat is kimutatható, a színek használatától kezdve, a munkavállalók bevonásán át a munkakörnyezet átalakításába a modern biztonsági megoldásokig, az </w:t>
      </w:r>
      <w:proofErr w:type="spellStart"/>
      <w:r w:rsidRPr="003C6A32">
        <w:rPr>
          <w:rFonts w:ascii="Arial" w:eastAsia="Arial" w:hAnsi="Arial" w:cs="Arial"/>
          <w:sz w:val="22"/>
          <w:szCs w:val="22"/>
        </w:rPr>
        <w:t>ergonómiailag</w:t>
      </w:r>
      <w:proofErr w:type="spellEnd"/>
      <w:r w:rsidRPr="003C6A32">
        <w:rPr>
          <w:rFonts w:ascii="Arial" w:eastAsia="Arial" w:hAnsi="Arial" w:cs="Arial"/>
          <w:sz w:val="22"/>
          <w:szCs w:val="22"/>
        </w:rPr>
        <w:t xml:space="preserve"> megfelelő bútorokig</w:t>
      </w:r>
      <w:r w:rsidR="00660CBD">
        <w:rPr>
          <w:rFonts w:ascii="Arial" w:eastAsia="Arial" w:hAnsi="Arial" w:cs="Arial"/>
          <w:sz w:val="22"/>
          <w:szCs w:val="22"/>
        </w:rPr>
        <w:t>,</w:t>
      </w:r>
      <w:r w:rsidRPr="003C6A32">
        <w:rPr>
          <w:rFonts w:ascii="Arial" w:eastAsia="Arial" w:hAnsi="Arial" w:cs="Arial"/>
          <w:sz w:val="22"/>
          <w:szCs w:val="22"/>
        </w:rPr>
        <w:t xml:space="preserve"> vagy éppen a parkolási lehetőség biztosításáig. </w:t>
      </w:r>
    </w:p>
    <w:p w14:paraId="3F3BAFDB" w14:textId="77777777" w:rsidR="00D23B4B" w:rsidRPr="003C6A32" w:rsidRDefault="00D23B4B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3464358D" w14:textId="3F948193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sz w:val="22"/>
          <w:szCs w:val="22"/>
        </w:rPr>
        <w:t xml:space="preserve">Ebben a témakörben a komfortosság, a hőérzet és hőmérséklet, a fényviszonyok, a levegő minősége és a környezeti fenntarthatósághoz kapcsolódó jó gyakorlatok (pl. irodán belüli szelektív hulladékgyűjtés, műanyag helyett üvegpoharak az étkezőben, munkavállaló által vezérelhető </w:t>
      </w:r>
      <w:proofErr w:type="spellStart"/>
      <w:r w:rsidRPr="003C6A32">
        <w:rPr>
          <w:rFonts w:ascii="Arial" w:eastAsia="Arial" w:hAnsi="Arial" w:cs="Arial"/>
          <w:sz w:val="22"/>
          <w:szCs w:val="22"/>
        </w:rPr>
        <w:t>klímatizálás</w:t>
      </w:r>
      <w:proofErr w:type="spellEnd"/>
      <w:r w:rsidRPr="003C6A32">
        <w:rPr>
          <w:rFonts w:ascii="Arial" w:eastAsia="Arial" w:hAnsi="Arial" w:cs="Arial"/>
          <w:sz w:val="22"/>
          <w:szCs w:val="22"/>
        </w:rPr>
        <w:t xml:space="preserve"> stb.) emelhetik a felelős foglalkoztatók közé a munkáltatót. Az is fontos viszont, hogy a fizikai környezettel kapcsolatban az eltérő generációknak eltérő igényei vannak, már csak ezért is igényel komolyabb ráfordítást a fizikai környezet modernizálása a felelős foglalkoztatóktól. </w:t>
      </w:r>
    </w:p>
    <w:p w14:paraId="71628A80" w14:textId="77777777" w:rsidR="00A039A1" w:rsidRPr="003C6A32" w:rsidRDefault="00A039A1" w:rsidP="000476E4">
      <w:pP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26F44BF7" w14:textId="6AC3B779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b/>
          <w:sz w:val="22"/>
          <w:szCs w:val="22"/>
        </w:rPr>
        <w:t>Fizikai és mentális egészségi állapot megőrzése</w:t>
      </w:r>
    </w:p>
    <w:p w14:paraId="05130DAA" w14:textId="359ED645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sz w:val="22"/>
          <w:szCs w:val="22"/>
        </w:rPr>
        <w:t>A fizikai állapot tekintetében a táplálkozási, életmódbeli, betegségmegelőző, testi gyakorlatok</w:t>
      </w:r>
      <w:r w:rsidR="00792E34" w:rsidRPr="003C6A32">
        <w:rPr>
          <w:rFonts w:ascii="Arial" w:eastAsia="Arial" w:hAnsi="Arial" w:cs="Arial"/>
          <w:sz w:val="22"/>
          <w:szCs w:val="22"/>
        </w:rPr>
        <w:t>,</w:t>
      </w:r>
      <w:r w:rsidRPr="003C6A32">
        <w:rPr>
          <w:rFonts w:ascii="Arial" w:eastAsia="Arial" w:hAnsi="Arial" w:cs="Arial"/>
          <w:sz w:val="22"/>
          <w:szCs w:val="22"/>
        </w:rPr>
        <w:t xml:space="preserve"> illetve prevenciós beavatkozások számba vétele lehet objektíven mérhető, a mentális egészség tekintetében a stresszkezelési módszerek, vállalati megoldások és a pihenéshez </w:t>
      </w:r>
      <w:r w:rsidRPr="003C6A32">
        <w:rPr>
          <w:rFonts w:ascii="Arial" w:eastAsia="Arial" w:hAnsi="Arial" w:cs="Arial"/>
          <w:sz w:val="22"/>
          <w:szCs w:val="22"/>
        </w:rPr>
        <w:lastRenderedPageBreak/>
        <w:t xml:space="preserve">való hozzáállás (túlmunkák, aktív pihenést segítő szolgáltatások, üdültetési lehetőség stb.) vizsgálata alkot sajátos szempontokat. </w:t>
      </w:r>
    </w:p>
    <w:p w14:paraId="46FFD872" w14:textId="6DB0E1BD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sz w:val="22"/>
          <w:szCs w:val="22"/>
        </w:rPr>
        <w:t>A munkahelyen, munkaidőben végzett egészségfejlesztő tevékenységre egyre több jó gyakorlatot lehet találni. Például étkezőt nyitnak, éttermet üzemeltetnek, mozgásra ösztönző applikációkat töltenek le a számítógépekre, további jó gyakorlat lehet az egyoldalú terhelés miatt egy-egy rövid masszázs, melynek segítségével átmozgatja a masszőr a váll és gerinc környéki izmokat, felsőbb szinten a menedzsmentnél coach</w:t>
      </w:r>
      <w:r w:rsidR="00833B6D">
        <w:rPr>
          <w:rFonts w:ascii="Arial" w:eastAsia="Arial" w:hAnsi="Arial" w:cs="Arial"/>
          <w:sz w:val="22"/>
          <w:szCs w:val="22"/>
        </w:rPr>
        <w:t>,</w:t>
      </w:r>
      <w:r w:rsidRPr="003C6A32">
        <w:rPr>
          <w:rFonts w:ascii="Arial" w:eastAsia="Arial" w:hAnsi="Arial" w:cs="Arial"/>
          <w:sz w:val="22"/>
          <w:szCs w:val="22"/>
        </w:rPr>
        <w:t xml:space="preserve"> vagy pszichológus segítheti a stressz kezelését. </w:t>
      </w:r>
    </w:p>
    <w:p w14:paraId="601F7543" w14:textId="77777777" w:rsidR="000476E4" w:rsidRPr="003C6A32" w:rsidRDefault="000476E4" w:rsidP="000476E4">
      <w:pPr>
        <w:spacing w:after="160" w:line="276" w:lineRule="auto"/>
        <w:jc w:val="left"/>
        <w:rPr>
          <w:rFonts w:ascii="Arial" w:eastAsia="Arial" w:hAnsi="Arial" w:cs="Arial"/>
          <w:sz w:val="22"/>
          <w:szCs w:val="22"/>
        </w:rPr>
      </w:pPr>
    </w:p>
    <w:p w14:paraId="31E2821A" w14:textId="77777777" w:rsidR="000476E4" w:rsidRPr="003C6A32" w:rsidRDefault="000476E4" w:rsidP="000476E4">
      <w:pPr>
        <w:spacing w:line="276" w:lineRule="auto"/>
        <w:rPr>
          <w:rFonts w:ascii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b/>
          <w:sz w:val="22"/>
          <w:szCs w:val="22"/>
        </w:rPr>
        <w:t>Munkahelyi közösségi és társadalmi jól-lét támogatása</w:t>
      </w:r>
    </w:p>
    <w:p w14:paraId="59A5F576" w14:textId="1A7B6931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sz w:val="22"/>
          <w:szCs w:val="22"/>
        </w:rPr>
        <w:t xml:space="preserve">A foglalkoztatók által szervezett, vállalaton belüli és kívüli közösségi programok, rendezvények dimenziója alkotja a munkahelyi jól-lét biztosítását célzó alapvető szegmensét. Ennek a hazai foglalkoztatói gyakorlatban régi tradíciója van, a különböző csapatépítő napok, belső versenyek, vállalati ünnepségek, évzáró </w:t>
      </w:r>
      <w:r w:rsidR="00AF364B" w:rsidRPr="003C6A32">
        <w:rPr>
          <w:rFonts w:ascii="Arial" w:eastAsia="Arial" w:hAnsi="Arial" w:cs="Arial"/>
          <w:sz w:val="22"/>
          <w:szCs w:val="22"/>
        </w:rPr>
        <w:t>partik</w:t>
      </w:r>
      <w:r w:rsidRPr="003C6A32">
        <w:rPr>
          <w:rFonts w:ascii="Arial" w:eastAsia="Arial" w:hAnsi="Arial" w:cs="Arial"/>
          <w:sz w:val="22"/>
          <w:szCs w:val="22"/>
        </w:rPr>
        <w:t>, közös főzések stb. elsősorban a munkatársak közötti partnerségek kialakulását, a munkahelyi konfliktusok kezelését, a vállalati identitás formálást célozzák. A családi napok már kicsit tágabb társadalmi kontextusban segítik elő az emberi viszonyok és kapcsolatok kedvező alakulását, a közösségi munkát segítő, vállalati önkéntes programok pedig más intézmények (iskolák, óvodák, önkormányzatok, rászoruló csoportokat ellátók stb.) vonatkozásában bírnak jelentős hozadékkal.</w:t>
      </w:r>
    </w:p>
    <w:p w14:paraId="4EC69DC9" w14:textId="77777777" w:rsidR="000476E4" w:rsidRPr="003C6A32" w:rsidRDefault="000476E4" w:rsidP="000476E4">
      <w:pPr>
        <w:spacing w:line="276" w:lineRule="auto"/>
        <w:rPr>
          <w:rFonts w:ascii="Arial" w:hAnsi="Arial" w:cs="Arial"/>
          <w:sz w:val="22"/>
          <w:szCs w:val="22"/>
        </w:rPr>
      </w:pPr>
    </w:p>
    <w:p w14:paraId="34A013C4" w14:textId="126B5DEC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sz w:val="22"/>
          <w:szCs w:val="22"/>
        </w:rPr>
        <w:t>A pályázat szempontjából elsősorban a munkahelyen belüli közösségi, szabadidős vagy kulturális, illetve eseti sport programok vehetők számba jó gyakorlatként, a vállalati önkéntesség, bár közösségi ereje van elsősorban a klasszikus CSR részeként értelmezendő és a nem a felelős foglalkoztatói szempontrendszerben.</w:t>
      </w:r>
    </w:p>
    <w:p w14:paraId="6BB64A79" w14:textId="4E7CEDA0" w:rsidR="000476E4" w:rsidRPr="003C6A32" w:rsidRDefault="000476E4" w:rsidP="007F1CEE">
      <w:pPr>
        <w:spacing w:after="160" w:line="259" w:lineRule="auto"/>
        <w:jc w:val="left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sz w:val="22"/>
          <w:szCs w:val="22"/>
        </w:rPr>
        <w:br w:type="page"/>
      </w:r>
    </w:p>
    <w:p w14:paraId="4B54055C" w14:textId="0B7F4DBA" w:rsidR="000476E4" w:rsidRPr="003C6A32" w:rsidRDefault="000476E4" w:rsidP="000476E4">
      <w:pPr>
        <w:spacing w:line="276" w:lineRule="auto"/>
        <w:rPr>
          <w:rFonts w:ascii="Arial" w:eastAsia="Arial" w:hAnsi="Arial" w:cs="Arial"/>
          <w:b/>
          <w:bCs/>
          <w:sz w:val="22"/>
          <w:szCs w:val="22"/>
        </w:rPr>
      </w:pPr>
      <w:r w:rsidRPr="003C6A32">
        <w:rPr>
          <w:rFonts w:ascii="Arial" w:eastAsia="Arial" w:hAnsi="Arial" w:cs="Arial"/>
          <w:b/>
          <w:bCs/>
          <w:sz w:val="22"/>
          <w:szCs w:val="22"/>
        </w:rPr>
        <w:lastRenderedPageBreak/>
        <w:t>3. Törekvés a foglalkoztatásban az egyensúlyi állapot fenntartására</w:t>
      </w:r>
    </w:p>
    <w:p w14:paraId="715E6892" w14:textId="77777777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4DDE9430" w14:textId="77777777" w:rsidR="000476E4" w:rsidRPr="003C6A32" w:rsidRDefault="000476E4" w:rsidP="000476E4">
      <w:pPr>
        <w:spacing w:line="276" w:lineRule="auto"/>
        <w:rPr>
          <w:rFonts w:ascii="Arial" w:eastAsia="Arial" w:hAnsi="Arial" w:cs="Arial"/>
          <w:b/>
          <w:sz w:val="22"/>
          <w:szCs w:val="22"/>
        </w:rPr>
      </w:pPr>
      <w:r w:rsidRPr="003C6A32">
        <w:rPr>
          <w:rFonts w:ascii="Arial" w:eastAsia="Arial" w:hAnsi="Arial" w:cs="Arial"/>
          <w:b/>
          <w:sz w:val="22"/>
          <w:szCs w:val="22"/>
        </w:rPr>
        <w:t>Rugalmasság a foglalkoztatásban</w:t>
      </w:r>
    </w:p>
    <w:p w14:paraId="6EE7C5AF" w14:textId="5721E19F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sz w:val="22"/>
          <w:szCs w:val="22"/>
        </w:rPr>
        <w:t>Az „Év Felelős Foglalkoztatója” pályázat értékelési szempontjai között fontos szerepet tölt be, hogy a foglalkoztatás mennyiben alkalmazkodik a munkavállalói egyéni élethelyzetekhez, támogatja-e az élethelyzet megváltozásokból fakadó problémák kezelését, illetve a munkaidő- szabadidő egyensúly megfelelő beállítását. Az egyes célcsoportoknak (nők, fiatalok, megváltozott munkaképességű emberek, családosok stb.) eltérő a viszonyuk a munka világához és a munkahelyhez, különböző módon tudnak hasznosak lenni a vállalat számára, éppen ezért egy felelős foglalkoztató – a jogszabályi keret között és a diszkrimináció mentességet szem előtt tartva –</w:t>
      </w:r>
      <w:r w:rsidR="00BC4856">
        <w:rPr>
          <w:rFonts w:ascii="Arial" w:eastAsia="Arial" w:hAnsi="Arial" w:cs="Arial"/>
          <w:sz w:val="22"/>
          <w:szCs w:val="22"/>
        </w:rPr>
        <w:t xml:space="preserve"> </w:t>
      </w:r>
      <w:r w:rsidRPr="003C6A32">
        <w:rPr>
          <w:rFonts w:ascii="Arial" w:eastAsia="Arial" w:hAnsi="Arial" w:cs="Arial"/>
          <w:sz w:val="22"/>
          <w:szCs w:val="22"/>
        </w:rPr>
        <w:t>egyedi, atipikus, vagy egyéb rugalmas megoldásokat, kedvezményeket biztosíthat.</w:t>
      </w:r>
    </w:p>
    <w:p w14:paraId="4C97B905" w14:textId="77777777" w:rsidR="000476E4" w:rsidRPr="003C6A32" w:rsidRDefault="000476E4" w:rsidP="000476E4">
      <w:pPr>
        <w:spacing w:line="276" w:lineRule="auto"/>
        <w:rPr>
          <w:rFonts w:ascii="Arial" w:hAnsi="Arial" w:cs="Arial"/>
          <w:sz w:val="22"/>
          <w:szCs w:val="22"/>
        </w:rPr>
      </w:pPr>
    </w:p>
    <w:p w14:paraId="73A1C4C3" w14:textId="2D7FE38D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sz w:val="22"/>
          <w:szCs w:val="22"/>
        </w:rPr>
        <w:t xml:space="preserve">A család és munka közötti egyensúly megteremtése mellett a felelős foglalkoztató más speciális célcsoportok vonatkozásában is törekszik a foglalkoztatási egyensúly biztosítására, így az egyenletes munkaterhelés, a generációk közötti kooperációt segítő egyensúly és a megváltozott munkaképességű </w:t>
      </w:r>
      <w:proofErr w:type="gramStart"/>
      <w:r w:rsidRPr="003C6A32">
        <w:rPr>
          <w:rFonts w:ascii="Arial" w:eastAsia="Arial" w:hAnsi="Arial" w:cs="Arial"/>
          <w:sz w:val="22"/>
          <w:szCs w:val="22"/>
        </w:rPr>
        <w:t>munkavállalók  munkaszervezése</w:t>
      </w:r>
      <w:proofErr w:type="gramEnd"/>
      <w:r w:rsidRPr="003C6A32">
        <w:rPr>
          <w:rFonts w:ascii="Arial" w:eastAsia="Arial" w:hAnsi="Arial" w:cs="Arial"/>
          <w:sz w:val="22"/>
          <w:szCs w:val="22"/>
        </w:rPr>
        <w:t xml:space="preserve"> kapcsán is.</w:t>
      </w:r>
    </w:p>
    <w:p w14:paraId="200665C7" w14:textId="77777777" w:rsidR="000476E4" w:rsidRPr="003C6A32" w:rsidRDefault="000476E4" w:rsidP="000476E4">
      <w:pP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307B3D5D" w14:textId="77777777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b/>
          <w:sz w:val="22"/>
          <w:szCs w:val="22"/>
        </w:rPr>
        <w:t>Részvétel az irányításban</w:t>
      </w:r>
    </w:p>
    <w:p w14:paraId="02EDE9DD" w14:textId="0B131C3A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sz w:val="22"/>
          <w:szCs w:val="22"/>
        </w:rPr>
        <w:t>A felelős foglalkoztatás olyan vállalatirányítási szemléletmód is, mely magában foglalja a bizalomra épülő együttműködést a vállalathoz tartozó vezetők és dolgozók, valamint a vállalaton belüli részlegek és munkacsoportok között is. A felelős foglalkoztató megteremti annak vállalaton belüli eljárásrendjét, formális</w:t>
      </w:r>
      <w:r w:rsidR="000936E0">
        <w:rPr>
          <w:rFonts w:ascii="Arial" w:eastAsia="Arial" w:hAnsi="Arial" w:cs="Arial"/>
          <w:sz w:val="22"/>
          <w:szCs w:val="22"/>
        </w:rPr>
        <w:t>,</w:t>
      </w:r>
      <w:r w:rsidRPr="003C6A32">
        <w:rPr>
          <w:rFonts w:ascii="Arial" w:eastAsia="Arial" w:hAnsi="Arial" w:cs="Arial"/>
          <w:sz w:val="22"/>
          <w:szCs w:val="22"/>
        </w:rPr>
        <w:t xml:space="preserve"> vagy informális csatornáját, hogy az embereket bevonják saját munkájuk megtervezésébe és az őket érintő döntések meghozatalába. </w:t>
      </w:r>
    </w:p>
    <w:p w14:paraId="7C3164ED" w14:textId="77777777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DF9C74C" w14:textId="1E4964E0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sz w:val="22"/>
          <w:szCs w:val="22"/>
        </w:rPr>
        <w:t>A felelős foglalkoztató vezetői/tulajdonosai, fontosnak tartják, hogy elkötelezettségüket nyilvánosan és mindenki számára egyértelműen megfogalmazzák, ezért a nyilvánosság előtt is vállalják és hirdetik a felelős foglalkoztatói vállalati magatartással kapcsolatos értékeket</w:t>
      </w:r>
      <w:r w:rsidR="00906441">
        <w:rPr>
          <w:rFonts w:ascii="Arial" w:eastAsia="Arial" w:hAnsi="Arial" w:cs="Arial"/>
          <w:sz w:val="22"/>
          <w:szCs w:val="22"/>
        </w:rPr>
        <w:t xml:space="preserve">, </w:t>
      </w:r>
      <w:r w:rsidRPr="003C6A32">
        <w:rPr>
          <w:rFonts w:ascii="Arial" w:eastAsia="Arial" w:hAnsi="Arial" w:cs="Arial"/>
          <w:sz w:val="22"/>
          <w:szCs w:val="22"/>
        </w:rPr>
        <w:t>és másokat is erre bíztatnak.</w:t>
      </w:r>
    </w:p>
    <w:p w14:paraId="425F6814" w14:textId="77777777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6128AD51" w14:textId="703C1EAD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sz w:val="22"/>
          <w:szCs w:val="22"/>
        </w:rPr>
        <w:t>A munkavállalók szervezett bevonására a döntéshozatalba is vannak jól működő gyakorlatok, egy monitoring csapat felállítása</w:t>
      </w:r>
      <w:r w:rsidR="00764408">
        <w:rPr>
          <w:rFonts w:ascii="Arial" w:eastAsia="Arial" w:hAnsi="Arial" w:cs="Arial"/>
          <w:sz w:val="22"/>
          <w:szCs w:val="22"/>
        </w:rPr>
        <w:t>,</w:t>
      </w:r>
      <w:r w:rsidRPr="003C6A32">
        <w:rPr>
          <w:rFonts w:ascii="Arial" w:eastAsia="Arial" w:hAnsi="Arial" w:cs="Arial"/>
          <w:sz w:val="22"/>
          <w:szCs w:val="22"/>
        </w:rPr>
        <w:t xml:space="preserve"> vagy a felmerülő ötletek, javaslatok képviselő útján történő becsatornázása is ide sorolható technika, de az ötletrendszerek</w:t>
      </w:r>
      <w:r w:rsidR="000D784B" w:rsidRPr="003C6A32">
        <w:rPr>
          <w:rFonts w:ascii="Arial" w:eastAsia="Arial" w:hAnsi="Arial" w:cs="Arial"/>
          <w:sz w:val="22"/>
          <w:szCs w:val="22"/>
        </w:rPr>
        <w:t xml:space="preserve"> vagy -falak</w:t>
      </w:r>
      <w:r w:rsidRPr="003C6A32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3C6A32">
        <w:rPr>
          <w:rFonts w:ascii="Arial" w:eastAsia="Arial" w:hAnsi="Arial" w:cs="Arial"/>
          <w:sz w:val="22"/>
          <w:szCs w:val="22"/>
        </w:rPr>
        <w:t>brain</w:t>
      </w:r>
      <w:proofErr w:type="spellEnd"/>
      <w:r w:rsidRPr="003C6A32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3C6A32">
        <w:rPr>
          <w:rFonts w:ascii="Arial" w:eastAsia="Arial" w:hAnsi="Arial" w:cs="Arial"/>
          <w:sz w:val="22"/>
          <w:szCs w:val="22"/>
        </w:rPr>
        <w:t>storming</w:t>
      </w:r>
      <w:proofErr w:type="spellEnd"/>
      <w:r w:rsidR="009311D4" w:rsidRPr="003C6A32">
        <w:rPr>
          <w:rFonts w:ascii="Arial" w:eastAsia="Arial" w:hAnsi="Arial" w:cs="Arial"/>
          <w:sz w:val="22"/>
          <w:szCs w:val="22"/>
        </w:rPr>
        <w:t xml:space="preserve"> vagy</w:t>
      </w:r>
      <w:r w:rsidRPr="003C6A32">
        <w:rPr>
          <w:rFonts w:ascii="Arial" w:eastAsia="Arial" w:hAnsi="Arial" w:cs="Arial"/>
          <w:sz w:val="22"/>
          <w:szCs w:val="22"/>
        </w:rPr>
        <w:t xml:space="preserve"> kreatív beszélgetések, szervezeti workshopok is elősegítik a részvétel kiteljesedését. Bizonyos döntések esetében megtérülő gyakorlat lehet, ha a foglalkoztató a delegálja a döntési szintet a leginkább érintettekhez, akik</w:t>
      </w:r>
      <w:r w:rsidR="009A4E31">
        <w:rPr>
          <w:rFonts w:ascii="Arial" w:eastAsia="Arial" w:hAnsi="Arial" w:cs="Arial"/>
          <w:sz w:val="22"/>
          <w:szCs w:val="22"/>
        </w:rPr>
        <w:t>nek</w:t>
      </w:r>
      <w:r w:rsidRPr="003C6A32">
        <w:rPr>
          <w:rFonts w:ascii="Arial" w:eastAsia="Arial" w:hAnsi="Arial" w:cs="Arial"/>
          <w:sz w:val="22"/>
          <w:szCs w:val="22"/>
        </w:rPr>
        <w:t xml:space="preserve"> így nemcsak az irányítás </w:t>
      </w:r>
      <w:r w:rsidR="009A4E31">
        <w:rPr>
          <w:rFonts w:ascii="Arial" w:eastAsia="Arial" w:hAnsi="Arial" w:cs="Arial"/>
          <w:sz w:val="22"/>
          <w:szCs w:val="22"/>
        </w:rPr>
        <w:t>és</w:t>
      </w:r>
      <w:r w:rsidRPr="003C6A32">
        <w:rPr>
          <w:rFonts w:ascii="Arial" w:eastAsia="Arial" w:hAnsi="Arial" w:cs="Arial"/>
          <w:sz w:val="22"/>
          <w:szCs w:val="22"/>
        </w:rPr>
        <w:t xml:space="preserve"> munkaszervezés, hanem </w:t>
      </w:r>
      <w:r w:rsidR="0008778F">
        <w:rPr>
          <w:rFonts w:ascii="Arial" w:eastAsia="Arial" w:hAnsi="Arial" w:cs="Arial"/>
          <w:sz w:val="22"/>
          <w:szCs w:val="22"/>
        </w:rPr>
        <w:t xml:space="preserve">a </w:t>
      </w:r>
      <w:r w:rsidRPr="003C6A32">
        <w:rPr>
          <w:rFonts w:ascii="Arial" w:eastAsia="Arial" w:hAnsi="Arial" w:cs="Arial"/>
          <w:sz w:val="22"/>
          <w:szCs w:val="22"/>
        </w:rPr>
        <w:t>döntés</w:t>
      </w:r>
      <w:r w:rsidR="009A4E31">
        <w:rPr>
          <w:rFonts w:ascii="Arial" w:eastAsia="Arial" w:hAnsi="Arial" w:cs="Arial"/>
          <w:sz w:val="22"/>
          <w:szCs w:val="22"/>
        </w:rPr>
        <w:t>ek</w:t>
      </w:r>
      <w:r w:rsidRPr="003C6A32">
        <w:rPr>
          <w:rFonts w:ascii="Arial" w:eastAsia="Arial" w:hAnsi="Arial" w:cs="Arial"/>
          <w:sz w:val="22"/>
          <w:szCs w:val="22"/>
        </w:rPr>
        <w:t xml:space="preserve"> tekintetében is növelhető az elköteleződés</w:t>
      </w:r>
      <w:r w:rsidR="009A4E31">
        <w:rPr>
          <w:rFonts w:ascii="Arial" w:eastAsia="Arial" w:hAnsi="Arial" w:cs="Arial"/>
          <w:sz w:val="22"/>
          <w:szCs w:val="22"/>
        </w:rPr>
        <w:t>e</w:t>
      </w:r>
      <w:r w:rsidRPr="003C6A32">
        <w:rPr>
          <w:rFonts w:ascii="Arial" w:eastAsia="Arial" w:hAnsi="Arial" w:cs="Arial"/>
          <w:sz w:val="22"/>
          <w:szCs w:val="22"/>
        </w:rPr>
        <w:t xml:space="preserve"> </w:t>
      </w:r>
    </w:p>
    <w:p w14:paraId="257ADC6E" w14:textId="77777777" w:rsidR="00A039A1" w:rsidRPr="003C6A32" w:rsidRDefault="00A039A1" w:rsidP="000476E4">
      <w:pP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0EA66641" w14:textId="60AE9AF0" w:rsidR="000476E4" w:rsidRPr="003C6A32" w:rsidRDefault="000476E4" w:rsidP="000476E4">
      <w:pPr>
        <w:spacing w:line="276" w:lineRule="auto"/>
        <w:rPr>
          <w:rFonts w:ascii="Arial" w:eastAsia="Arial" w:hAnsi="Arial" w:cs="Arial"/>
          <w:b/>
          <w:sz w:val="22"/>
          <w:szCs w:val="22"/>
        </w:rPr>
      </w:pPr>
      <w:r w:rsidRPr="003C6A32">
        <w:rPr>
          <w:rFonts w:ascii="Arial" w:eastAsia="Arial" w:hAnsi="Arial" w:cs="Arial"/>
          <w:b/>
          <w:sz w:val="22"/>
          <w:szCs w:val="22"/>
        </w:rPr>
        <w:t>Visszacsatolás és értékelés</w:t>
      </w:r>
    </w:p>
    <w:p w14:paraId="20AD8A2E" w14:textId="77777777" w:rsidR="000476E4" w:rsidRPr="003C6A32" w:rsidRDefault="000476E4" w:rsidP="000476E4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3C6A32">
        <w:rPr>
          <w:rFonts w:ascii="Arial" w:eastAsia="Arial" w:hAnsi="Arial" w:cs="Arial"/>
          <w:sz w:val="22"/>
          <w:szCs w:val="22"/>
        </w:rPr>
        <w:t xml:space="preserve">A munkavállalók és a vezetők közötti rendszeres visszacsatolási és értékelési folyamatok működtetésére irányuló jó gyakorlatok esetében meg kell vizsgálni, hogy stratégiai szinten a szervezet miként kezeli az emberi erőforrásokat, azok rendelkezésre állását, a kapcsolódó belső értékelési eljárásokat, a munkaszervezeten belüli napi </w:t>
      </w:r>
      <w:proofErr w:type="spellStart"/>
      <w:r w:rsidRPr="003C6A32">
        <w:rPr>
          <w:rFonts w:ascii="Arial" w:eastAsia="Arial" w:hAnsi="Arial" w:cs="Arial"/>
          <w:sz w:val="22"/>
          <w:szCs w:val="22"/>
        </w:rPr>
        <w:t>feedback</w:t>
      </w:r>
      <w:proofErr w:type="spellEnd"/>
      <w:r w:rsidRPr="003C6A32">
        <w:rPr>
          <w:rFonts w:ascii="Arial" w:eastAsia="Arial" w:hAnsi="Arial" w:cs="Arial"/>
          <w:sz w:val="22"/>
          <w:szCs w:val="22"/>
        </w:rPr>
        <w:t xml:space="preserve"> folyamatokat. A teljesítmény és vezetői értékelés a munkaszervezetben rendszerré szervezve több </w:t>
      </w:r>
      <w:r w:rsidRPr="003C6A32">
        <w:rPr>
          <w:rFonts w:ascii="Arial" w:eastAsia="Arial" w:hAnsi="Arial" w:cs="Arial"/>
          <w:sz w:val="22"/>
          <w:szCs w:val="22"/>
        </w:rPr>
        <w:lastRenderedPageBreak/>
        <w:t>dimenzióban is segíti a szervezet fenntarthatóságát és a munkavállalókkal kapcsolatos hatékony és sikeres kommunikációt is.</w:t>
      </w:r>
    </w:p>
    <w:p w14:paraId="3C9AD3E3" w14:textId="77777777" w:rsidR="000476E4" w:rsidRPr="003C6A32" w:rsidRDefault="000476E4" w:rsidP="000476E4">
      <w:pPr>
        <w:spacing w:line="360" w:lineRule="auto"/>
        <w:rPr>
          <w:rFonts w:ascii="Arial" w:eastAsia="Arial" w:hAnsi="Arial" w:cs="Arial"/>
          <w:sz w:val="22"/>
          <w:szCs w:val="22"/>
        </w:rPr>
      </w:pPr>
    </w:p>
    <w:p w14:paraId="3250A72F" w14:textId="77777777" w:rsidR="007C1746" w:rsidRPr="003C6A32" w:rsidRDefault="007C1746" w:rsidP="000476E4">
      <w:pPr>
        <w:rPr>
          <w:rFonts w:ascii="Arial" w:hAnsi="Arial" w:cs="Arial"/>
          <w:sz w:val="22"/>
          <w:szCs w:val="22"/>
        </w:rPr>
      </w:pPr>
    </w:p>
    <w:sectPr w:rsidR="007C1746" w:rsidRPr="003C6A32" w:rsidSect="00AC6331">
      <w:headerReference w:type="default" r:id="rId12"/>
      <w:footerReference w:type="default" r:id="rId13"/>
      <w:pgSz w:w="11906" w:h="16838" w:code="9"/>
      <w:pgMar w:top="2102" w:right="1418" w:bottom="156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3B6FD" w14:textId="77777777" w:rsidR="00AC6331" w:rsidRDefault="00AC6331" w:rsidP="00B1447A">
      <w:r>
        <w:separator/>
      </w:r>
    </w:p>
  </w:endnote>
  <w:endnote w:type="continuationSeparator" w:id="0">
    <w:p w14:paraId="68C6CCB7" w14:textId="77777777" w:rsidR="00AC6331" w:rsidRDefault="00AC6331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83D5C" w14:textId="291F4538" w:rsidR="00D20032" w:rsidRDefault="00D20032" w:rsidP="00A70F4A">
    <w:pPr>
      <w:pStyle w:val="llb"/>
      <w:tabs>
        <w:tab w:val="clear" w:pos="4536"/>
        <w:tab w:val="clear" w:pos="9072"/>
        <w:tab w:val="left" w:pos="5280"/>
      </w:tabs>
      <w:ind w:right="-290"/>
      <w:jc w:val="center"/>
      <w:rPr>
        <w:rFonts w:ascii="Arial" w:hAnsi="Arial" w:cs="Arial"/>
        <w:color w:val="808080"/>
        <w:sz w:val="18"/>
        <w:szCs w:val="18"/>
      </w:rPr>
    </w:pPr>
  </w:p>
  <w:p w14:paraId="4296AC91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b/>
        <w:color w:val="999999"/>
        <w:sz w:val="16"/>
        <w:szCs w:val="16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</w:rPr>
      <w:t xml:space="preserve"> </w:t>
    </w:r>
  </w:p>
  <w:p w14:paraId="29670EB8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 xml:space="preserve">Székhely: 1036. Budapest, Lajos utca 80. | Levelezési cím: 1301. Budapest, | Pf.: 84. </w:t>
    </w:r>
  </w:p>
  <w:p w14:paraId="71AC83BB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>Központi telefonszám: +36 (1) 555-2900 | Központi fax szám: +36 (1) 555-2929 | E-mail: info@ofa.hu</w:t>
    </w:r>
  </w:p>
  <w:p w14:paraId="02468371" w14:textId="77777777" w:rsidR="00D20032" w:rsidRDefault="00D20032" w:rsidP="00A70F4A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094909A2" w14:textId="77777777" w:rsidR="00A70F4A" w:rsidRDefault="00A70F4A" w:rsidP="00A70F4A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662D25BE" w14:textId="09C5F4E0" w:rsidR="00D20032" w:rsidRPr="00AD22D2" w:rsidRDefault="000476E4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D5E770E" wp14:editId="20236AD3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0" t="0" r="0" b="0"/>
              <wp:wrapNone/>
              <wp:docPr id="1117665758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3B2B6B7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A18672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53AAA8B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66AD931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2BF128FC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5DBE0B8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5ECD6541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5E770E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63B2B6B7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A18672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53AAA8B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66AD931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2BF128FC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5DBE0B8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5ECD6541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0A4F1F" wp14:editId="0FF0560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0" t="0" r="0" b="0"/>
              <wp:wrapNone/>
              <wp:docPr id="1232926843" name="Szövegdoboz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ADA3894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60B96B38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44531AEF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33D29A0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1C72C10F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9651F6F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773CE00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0A4F1F" id="Szövegdoboz 1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3ADA3894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60B96B38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44531AEF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33D29A0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1C72C10F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9651F6F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773CE00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D20032"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99030" w14:textId="77777777" w:rsidR="00AC6331" w:rsidRDefault="00AC6331" w:rsidP="00B1447A">
      <w:r>
        <w:separator/>
      </w:r>
    </w:p>
  </w:footnote>
  <w:footnote w:type="continuationSeparator" w:id="0">
    <w:p w14:paraId="1E38EF17" w14:textId="77777777" w:rsidR="00AC6331" w:rsidRDefault="00AC6331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30235" w14:textId="2C95760E" w:rsidR="00DA2D88" w:rsidRDefault="00DA2D88">
    <w:pPr>
      <w:pStyle w:val="lfej"/>
    </w:pPr>
    <w:r>
      <w:rPr>
        <w:noProof/>
      </w:rPr>
      <w:drawing>
        <wp:anchor distT="0" distB="0" distL="114300" distR="114300" simplePos="0" relativeHeight="251666432" behindDoc="0" locked="0" layoutInCell="1" allowOverlap="1" wp14:anchorId="7CDEBCD8" wp14:editId="5C7B9EB6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553325" cy="1333500"/>
          <wp:effectExtent l="0" t="0" r="9525" b="0"/>
          <wp:wrapThrough wrapText="bothSides">
            <wp:wrapPolygon edited="0">
              <wp:start x="0" y="0"/>
              <wp:lineTo x="0" y="21291"/>
              <wp:lineTo x="21573" y="21291"/>
              <wp:lineTo x="21573" y="0"/>
              <wp:lineTo x="0" y="0"/>
            </wp:wrapPolygon>
          </wp:wrapThrough>
          <wp:docPr id="1393198359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E2F07"/>
    <w:multiLevelType w:val="hybridMultilevel"/>
    <w:tmpl w:val="B83C60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B0115"/>
    <w:multiLevelType w:val="hybridMultilevel"/>
    <w:tmpl w:val="77A0A3F4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97D61"/>
    <w:multiLevelType w:val="hybridMultilevel"/>
    <w:tmpl w:val="6F4AF55C"/>
    <w:lvl w:ilvl="0" w:tplc="3C82B55E">
      <w:start w:val="5"/>
      <w:numFmt w:val="bullet"/>
      <w:lvlText w:val="-"/>
      <w:lvlJc w:val="left"/>
      <w:pPr>
        <w:ind w:left="1287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E69D2"/>
    <w:multiLevelType w:val="hybridMultilevel"/>
    <w:tmpl w:val="F140BD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217D7"/>
    <w:multiLevelType w:val="hybridMultilevel"/>
    <w:tmpl w:val="8BE661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C6A61"/>
    <w:multiLevelType w:val="hybridMultilevel"/>
    <w:tmpl w:val="98625322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6186DE8"/>
    <w:multiLevelType w:val="hybridMultilevel"/>
    <w:tmpl w:val="03AC32CA"/>
    <w:lvl w:ilvl="0" w:tplc="3C82B55E">
      <w:start w:val="5"/>
      <w:numFmt w:val="bullet"/>
      <w:lvlText w:val="-"/>
      <w:lvlJc w:val="left"/>
      <w:pPr>
        <w:ind w:left="1287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091E5B"/>
    <w:multiLevelType w:val="hybridMultilevel"/>
    <w:tmpl w:val="B9A6A4AC"/>
    <w:lvl w:ilvl="0" w:tplc="EAD48BD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8BF19A4"/>
    <w:multiLevelType w:val="hybridMultilevel"/>
    <w:tmpl w:val="01E87E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CF2B7C"/>
    <w:multiLevelType w:val="hybridMultilevel"/>
    <w:tmpl w:val="F620F1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9639A2"/>
    <w:multiLevelType w:val="hybridMultilevel"/>
    <w:tmpl w:val="817254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30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8201F"/>
    <w:multiLevelType w:val="hybridMultilevel"/>
    <w:tmpl w:val="BECA070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B56D8D"/>
    <w:multiLevelType w:val="hybridMultilevel"/>
    <w:tmpl w:val="B8DA15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7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735721F"/>
    <w:multiLevelType w:val="hybridMultilevel"/>
    <w:tmpl w:val="C14AD60C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BC44FD"/>
    <w:multiLevelType w:val="hybridMultilevel"/>
    <w:tmpl w:val="107CA6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01002">
    <w:abstractNumId w:val="2"/>
  </w:num>
  <w:num w:numId="2" w16cid:durableId="211310729">
    <w:abstractNumId w:val="27"/>
  </w:num>
  <w:num w:numId="3" w16cid:durableId="1220558235">
    <w:abstractNumId w:val="19"/>
  </w:num>
  <w:num w:numId="4" w16cid:durableId="157767532">
    <w:abstractNumId w:val="36"/>
  </w:num>
  <w:num w:numId="5" w16cid:durableId="1728993793">
    <w:abstractNumId w:val="16"/>
  </w:num>
  <w:num w:numId="6" w16cid:durableId="1581283221">
    <w:abstractNumId w:val="20"/>
  </w:num>
  <w:num w:numId="7" w16cid:durableId="1798330465">
    <w:abstractNumId w:val="23"/>
  </w:num>
  <w:num w:numId="8" w16cid:durableId="1109399011">
    <w:abstractNumId w:val="11"/>
  </w:num>
  <w:num w:numId="9" w16cid:durableId="1179588599">
    <w:abstractNumId w:val="30"/>
  </w:num>
  <w:num w:numId="10" w16cid:durableId="471486555">
    <w:abstractNumId w:val="35"/>
  </w:num>
  <w:num w:numId="11" w16cid:durableId="573012413">
    <w:abstractNumId w:val="29"/>
  </w:num>
  <w:num w:numId="12" w16cid:durableId="2012752911">
    <w:abstractNumId w:val="28"/>
  </w:num>
  <w:num w:numId="13" w16cid:durableId="2010206799">
    <w:abstractNumId w:val="10"/>
  </w:num>
  <w:num w:numId="14" w16cid:durableId="528183410">
    <w:abstractNumId w:val="10"/>
  </w:num>
  <w:num w:numId="15" w16cid:durableId="1339766975">
    <w:abstractNumId w:val="41"/>
  </w:num>
  <w:num w:numId="16" w16cid:durableId="94905679">
    <w:abstractNumId w:val="25"/>
  </w:num>
  <w:num w:numId="17" w16cid:durableId="1003898891">
    <w:abstractNumId w:val="14"/>
  </w:num>
  <w:num w:numId="18" w16cid:durableId="1871841803">
    <w:abstractNumId w:val="9"/>
  </w:num>
  <w:num w:numId="19" w16cid:durableId="1051156458">
    <w:abstractNumId w:val="0"/>
  </w:num>
  <w:num w:numId="20" w16cid:durableId="1809514527">
    <w:abstractNumId w:val="22"/>
  </w:num>
  <w:num w:numId="21" w16cid:durableId="614289245">
    <w:abstractNumId w:val="26"/>
  </w:num>
  <w:num w:numId="22" w16cid:durableId="131186106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2993886">
    <w:abstractNumId w:val="0"/>
  </w:num>
  <w:num w:numId="24" w16cid:durableId="454255270">
    <w:abstractNumId w:val="37"/>
  </w:num>
  <w:num w:numId="25" w16cid:durableId="174614822">
    <w:abstractNumId w:val="33"/>
  </w:num>
  <w:num w:numId="26" w16cid:durableId="1256670708">
    <w:abstractNumId w:val="40"/>
  </w:num>
  <w:num w:numId="27" w16cid:durableId="1887832854">
    <w:abstractNumId w:val="4"/>
  </w:num>
  <w:num w:numId="28" w16cid:durableId="1723020321">
    <w:abstractNumId w:val="6"/>
  </w:num>
  <w:num w:numId="29" w16cid:durableId="744651167">
    <w:abstractNumId w:val="31"/>
  </w:num>
  <w:num w:numId="30" w16cid:durableId="1995328843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39864926">
    <w:abstractNumId w:val="38"/>
  </w:num>
  <w:num w:numId="32" w16cid:durableId="1662351175">
    <w:abstractNumId w:val="3"/>
  </w:num>
  <w:num w:numId="33" w16cid:durableId="271134796">
    <w:abstractNumId w:val="32"/>
  </w:num>
  <w:num w:numId="34" w16cid:durableId="1625963090">
    <w:abstractNumId w:val="12"/>
  </w:num>
  <w:num w:numId="35" w16cid:durableId="1341080010">
    <w:abstractNumId w:val="34"/>
  </w:num>
  <w:num w:numId="36" w16cid:durableId="127935473">
    <w:abstractNumId w:val="39"/>
  </w:num>
  <w:num w:numId="37" w16cid:durableId="82531696">
    <w:abstractNumId w:val="17"/>
  </w:num>
  <w:num w:numId="38" w16cid:durableId="1269967151">
    <w:abstractNumId w:val="21"/>
  </w:num>
  <w:num w:numId="39" w16cid:durableId="571431652">
    <w:abstractNumId w:val="24"/>
  </w:num>
  <w:num w:numId="40" w16cid:durableId="1662151808">
    <w:abstractNumId w:val="15"/>
  </w:num>
  <w:num w:numId="41" w16cid:durableId="1594704176">
    <w:abstractNumId w:val="5"/>
  </w:num>
  <w:num w:numId="42" w16cid:durableId="1431513171">
    <w:abstractNumId w:val="7"/>
  </w:num>
  <w:num w:numId="43" w16cid:durableId="902181753">
    <w:abstractNumId w:val="1"/>
  </w:num>
  <w:num w:numId="44" w16cid:durableId="1466777493">
    <w:abstractNumId w:val="8"/>
  </w:num>
  <w:num w:numId="45" w16cid:durableId="14019590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01F3B"/>
    <w:rsid w:val="00013E0B"/>
    <w:rsid w:val="00034A8B"/>
    <w:rsid w:val="00037216"/>
    <w:rsid w:val="00037A25"/>
    <w:rsid w:val="000476E4"/>
    <w:rsid w:val="00054DEE"/>
    <w:rsid w:val="0006212E"/>
    <w:rsid w:val="00067777"/>
    <w:rsid w:val="00071F39"/>
    <w:rsid w:val="00072517"/>
    <w:rsid w:val="00084DE7"/>
    <w:rsid w:val="0008778F"/>
    <w:rsid w:val="00092048"/>
    <w:rsid w:val="000936E0"/>
    <w:rsid w:val="000A0718"/>
    <w:rsid w:val="000A60E3"/>
    <w:rsid w:val="000B2A6B"/>
    <w:rsid w:val="000D784B"/>
    <w:rsid w:val="000E3B76"/>
    <w:rsid w:val="000E5EA8"/>
    <w:rsid w:val="000F3B60"/>
    <w:rsid w:val="00113ADB"/>
    <w:rsid w:val="00122293"/>
    <w:rsid w:val="00130E9F"/>
    <w:rsid w:val="00145155"/>
    <w:rsid w:val="0016689D"/>
    <w:rsid w:val="00191D80"/>
    <w:rsid w:val="001A23B0"/>
    <w:rsid w:val="001A7467"/>
    <w:rsid w:val="001C0CBB"/>
    <w:rsid w:val="001C6F74"/>
    <w:rsid w:val="001D0F40"/>
    <w:rsid w:val="001E475D"/>
    <w:rsid w:val="001E758C"/>
    <w:rsid w:val="00201F09"/>
    <w:rsid w:val="0020378C"/>
    <w:rsid w:val="002137B1"/>
    <w:rsid w:val="00216299"/>
    <w:rsid w:val="002176FC"/>
    <w:rsid w:val="002267B3"/>
    <w:rsid w:val="00230625"/>
    <w:rsid w:val="002363F1"/>
    <w:rsid w:val="00251DD9"/>
    <w:rsid w:val="002657B5"/>
    <w:rsid w:val="00267CDA"/>
    <w:rsid w:val="00271ACB"/>
    <w:rsid w:val="00293557"/>
    <w:rsid w:val="002962D4"/>
    <w:rsid w:val="002A4FDA"/>
    <w:rsid w:val="002D70FF"/>
    <w:rsid w:val="002F2E8D"/>
    <w:rsid w:val="002F33A2"/>
    <w:rsid w:val="002F5362"/>
    <w:rsid w:val="003130C8"/>
    <w:rsid w:val="003146D2"/>
    <w:rsid w:val="00320C57"/>
    <w:rsid w:val="0034512D"/>
    <w:rsid w:val="003661C5"/>
    <w:rsid w:val="0039048E"/>
    <w:rsid w:val="00390985"/>
    <w:rsid w:val="00394A28"/>
    <w:rsid w:val="003A0384"/>
    <w:rsid w:val="003A1F73"/>
    <w:rsid w:val="003A2B04"/>
    <w:rsid w:val="003A3B55"/>
    <w:rsid w:val="003C0105"/>
    <w:rsid w:val="003C155F"/>
    <w:rsid w:val="003C2AC1"/>
    <w:rsid w:val="003C6A32"/>
    <w:rsid w:val="003D1F2C"/>
    <w:rsid w:val="003D7A7C"/>
    <w:rsid w:val="003E318C"/>
    <w:rsid w:val="00404A24"/>
    <w:rsid w:val="0041776D"/>
    <w:rsid w:val="004249BB"/>
    <w:rsid w:val="00442D16"/>
    <w:rsid w:val="00460681"/>
    <w:rsid w:val="00463D80"/>
    <w:rsid w:val="00485481"/>
    <w:rsid w:val="004908A5"/>
    <w:rsid w:val="00491A1E"/>
    <w:rsid w:val="004A2B54"/>
    <w:rsid w:val="004A35C3"/>
    <w:rsid w:val="004A5396"/>
    <w:rsid w:val="004C29B5"/>
    <w:rsid w:val="004C4367"/>
    <w:rsid w:val="004C4DE5"/>
    <w:rsid w:val="004D54CF"/>
    <w:rsid w:val="004F15C7"/>
    <w:rsid w:val="0050008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A34C1"/>
    <w:rsid w:val="005B55BA"/>
    <w:rsid w:val="005C103C"/>
    <w:rsid w:val="005C1AC1"/>
    <w:rsid w:val="005C3CBD"/>
    <w:rsid w:val="005D386F"/>
    <w:rsid w:val="005D544E"/>
    <w:rsid w:val="005E204D"/>
    <w:rsid w:val="005E2F11"/>
    <w:rsid w:val="005F0511"/>
    <w:rsid w:val="005F0E6E"/>
    <w:rsid w:val="005F59FF"/>
    <w:rsid w:val="0061055D"/>
    <w:rsid w:val="0061215B"/>
    <w:rsid w:val="00626BFF"/>
    <w:rsid w:val="00632218"/>
    <w:rsid w:val="00635DA6"/>
    <w:rsid w:val="00653241"/>
    <w:rsid w:val="006604F6"/>
    <w:rsid w:val="00660CBD"/>
    <w:rsid w:val="006636A7"/>
    <w:rsid w:val="00672A52"/>
    <w:rsid w:val="00675F0C"/>
    <w:rsid w:val="00690167"/>
    <w:rsid w:val="00695A70"/>
    <w:rsid w:val="006A0E23"/>
    <w:rsid w:val="006A414F"/>
    <w:rsid w:val="006A6657"/>
    <w:rsid w:val="006A6807"/>
    <w:rsid w:val="006B1D5A"/>
    <w:rsid w:val="006B524E"/>
    <w:rsid w:val="006C2CF0"/>
    <w:rsid w:val="006C6A1E"/>
    <w:rsid w:val="006D4F4C"/>
    <w:rsid w:val="006D6A8A"/>
    <w:rsid w:val="006F01E8"/>
    <w:rsid w:val="006F1EB7"/>
    <w:rsid w:val="006F2357"/>
    <w:rsid w:val="007001F1"/>
    <w:rsid w:val="007031DC"/>
    <w:rsid w:val="00706A2E"/>
    <w:rsid w:val="007162C4"/>
    <w:rsid w:val="00723B18"/>
    <w:rsid w:val="00731396"/>
    <w:rsid w:val="007349AF"/>
    <w:rsid w:val="0073554C"/>
    <w:rsid w:val="007477B0"/>
    <w:rsid w:val="00747B5E"/>
    <w:rsid w:val="00760057"/>
    <w:rsid w:val="00764408"/>
    <w:rsid w:val="00775D17"/>
    <w:rsid w:val="00777A29"/>
    <w:rsid w:val="00785840"/>
    <w:rsid w:val="0079069A"/>
    <w:rsid w:val="00792E34"/>
    <w:rsid w:val="0079430B"/>
    <w:rsid w:val="00796435"/>
    <w:rsid w:val="007A2BEA"/>
    <w:rsid w:val="007C0F03"/>
    <w:rsid w:val="007C1746"/>
    <w:rsid w:val="007D29C1"/>
    <w:rsid w:val="007D44E2"/>
    <w:rsid w:val="007E2902"/>
    <w:rsid w:val="007E7A66"/>
    <w:rsid w:val="007F1CEE"/>
    <w:rsid w:val="007F5CB1"/>
    <w:rsid w:val="00802E29"/>
    <w:rsid w:val="00805CE1"/>
    <w:rsid w:val="00817810"/>
    <w:rsid w:val="00832BF0"/>
    <w:rsid w:val="00833B6D"/>
    <w:rsid w:val="00837061"/>
    <w:rsid w:val="00845089"/>
    <w:rsid w:val="00846BF9"/>
    <w:rsid w:val="00860A26"/>
    <w:rsid w:val="00864F44"/>
    <w:rsid w:val="00870C76"/>
    <w:rsid w:val="00881BC5"/>
    <w:rsid w:val="00890CD0"/>
    <w:rsid w:val="008B0C8B"/>
    <w:rsid w:val="008C03BE"/>
    <w:rsid w:val="008C116F"/>
    <w:rsid w:val="008E6026"/>
    <w:rsid w:val="00906441"/>
    <w:rsid w:val="00916529"/>
    <w:rsid w:val="009258B3"/>
    <w:rsid w:val="009311D4"/>
    <w:rsid w:val="00932B9B"/>
    <w:rsid w:val="00935BC7"/>
    <w:rsid w:val="009546EF"/>
    <w:rsid w:val="009554D5"/>
    <w:rsid w:val="00957AD4"/>
    <w:rsid w:val="0097343E"/>
    <w:rsid w:val="009864E6"/>
    <w:rsid w:val="00987CC2"/>
    <w:rsid w:val="00990810"/>
    <w:rsid w:val="00992707"/>
    <w:rsid w:val="009A4E31"/>
    <w:rsid w:val="009B46A8"/>
    <w:rsid w:val="009C4AE0"/>
    <w:rsid w:val="009D47B8"/>
    <w:rsid w:val="009E1537"/>
    <w:rsid w:val="009E4E34"/>
    <w:rsid w:val="009F2CF4"/>
    <w:rsid w:val="009F786F"/>
    <w:rsid w:val="00A03844"/>
    <w:rsid w:val="00A039A1"/>
    <w:rsid w:val="00A06FF3"/>
    <w:rsid w:val="00A1637B"/>
    <w:rsid w:val="00A174E8"/>
    <w:rsid w:val="00A20FCA"/>
    <w:rsid w:val="00A22028"/>
    <w:rsid w:val="00A30219"/>
    <w:rsid w:val="00A350A0"/>
    <w:rsid w:val="00A42622"/>
    <w:rsid w:val="00A444D9"/>
    <w:rsid w:val="00A61497"/>
    <w:rsid w:val="00A70F4A"/>
    <w:rsid w:val="00A738EA"/>
    <w:rsid w:val="00A91B2F"/>
    <w:rsid w:val="00A94773"/>
    <w:rsid w:val="00AB4E17"/>
    <w:rsid w:val="00AC6331"/>
    <w:rsid w:val="00AE64F4"/>
    <w:rsid w:val="00AE7C98"/>
    <w:rsid w:val="00AE7CC8"/>
    <w:rsid w:val="00AF364B"/>
    <w:rsid w:val="00B06EA4"/>
    <w:rsid w:val="00B1447A"/>
    <w:rsid w:val="00B301DD"/>
    <w:rsid w:val="00B434CC"/>
    <w:rsid w:val="00B43A1D"/>
    <w:rsid w:val="00B571DD"/>
    <w:rsid w:val="00B60AC1"/>
    <w:rsid w:val="00B72DCF"/>
    <w:rsid w:val="00B81196"/>
    <w:rsid w:val="00B853D6"/>
    <w:rsid w:val="00B87F8F"/>
    <w:rsid w:val="00BA0CE0"/>
    <w:rsid w:val="00BB0B9F"/>
    <w:rsid w:val="00BC2399"/>
    <w:rsid w:val="00BC3C9B"/>
    <w:rsid w:val="00BC4856"/>
    <w:rsid w:val="00BC555C"/>
    <w:rsid w:val="00BD0A85"/>
    <w:rsid w:val="00BE2FA1"/>
    <w:rsid w:val="00BE3102"/>
    <w:rsid w:val="00BE4A46"/>
    <w:rsid w:val="00BE4D53"/>
    <w:rsid w:val="00BE568F"/>
    <w:rsid w:val="00C0159B"/>
    <w:rsid w:val="00C03ECE"/>
    <w:rsid w:val="00C12F19"/>
    <w:rsid w:val="00C13A6F"/>
    <w:rsid w:val="00C4069D"/>
    <w:rsid w:val="00C73621"/>
    <w:rsid w:val="00C74410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13F0"/>
    <w:rsid w:val="00CC6428"/>
    <w:rsid w:val="00CC6A16"/>
    <w:rsid w:val="00CE2B28"/>
    <w:rsid w:val="00CF18F3"/>
    <w:rsid w:val="00D00F3A"/>
    <w:rsid w:val="00D02945"/>
    <w:rsid w:val="00D20032"/>
    <w:rsid w:val="00D23B4B"/>
    <w:rsid w:val="00D26059"/>
    <w:rsid w:val="00D66551"/>
    <w:rsid w:val="00D72E9D"/>
    <w:rsid w:val="00D73027"/>
    <w:rsid w:val="00D85F88"/>
    <w:rsid w:val="00D876E9"/>
    <w:rsid w:val="00D92E60"/>
    <w:rsid w:val="00DA2D88"/>
    <w:rsid w:val="00DB7E97"/>
    <w:rsid w:val="00DC012D"/>
    <w:rsid w:val="00DD7537"/>
    <w:rsid w:val="00DE3B00"/>
    <w:rsid w:val="00DF6974"/>
    <w:rsid w:val="00E0321B"/>
    <w:rsid w:val="00E16B4D"/>
    <w:rsid w:val="00E27D8C"/>
    <w:rsid w:val="00E33B6D"/>
    <w:rsid w:val="00E3496A"/>
    <w:rsid w:val="00E44B10"/>
    <w:rsid w:val="00E45DA3"/>
    <w:rsid w:val="00E7681A"/>
    <w:rsid w:val="00E824C3"/>
    <w:rsid w:val="00E84E5C"/>
    <w:rsid w:val="00E97D10"/>
    <w:rsid w:val="00EA4588"/>
    <w:rsid w:val="00EB114E"/>
    <w:rsid w:val="00EB1A59"/>
    <w:rsid w:val="00EC4EB0"/>
    <w:rsid w:val="00F06AD6"/>
    <w:rsid w:val="00F21E37"/>
    <w:rsid w:val="00F22CC1"/>
    <w:rsid w:val="00F246FF"/>
    <w:rsid w:val="00F542CD"/>
    <w:rsid w:val="00F708EE"/>
    <w:rsid w:val="00F72DBE"/>
    <w:rsid w:val="00F75EAD"/>
    <w:rsid w:val="00F80C3F"/>
    <w:rsid w:val="00F82FAC"/>
    <w:rsid w:val="00F86186"/>
    <w:rsid w:val="00F93D67"/>
    <w:rsid w:val="00F97005"/>
    <w:rsid w:val="00FA7D83"/>
    <w:rsid w:val="00FC3F83"/>
    <w:rsid w:val="00FC7CA4"/>
    <w:rsid w:val="00FD0375"/>
    <w:rsid w:val="00FD08A2"/>
    <w:rsid w:val="00FE3905"/>
    <w:rsid w:val="00FE692D"/>
    <w:rsid w:val="20171FE7"/>
    <w:rsid w:val="247056B9"/>
    <w:rsid w:val="335DA1EB"/>
    <w:rsid w:val="68408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2941"/>
  <w15:docId w15:val="{A87F52FC-328A-4BCF-B6E1-37DE80FB0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lfej">
    <w:name w:val="header"/>
    <w:basedOn w:val="Norml"/>
    <w:link w:val="lfejChar"/>
    <w:uiPriority w:val="99"/>
    <w:rsid w:val="00B1447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1447A"/>
    <w:rPr>
      <w:rFonts w:ascii="Verdana" w:eastAsia="Times New Roman" w:hAnsi="Verdana" w:cs="Times New Roman"/>
      <w:sz w:val="20"/>
      <w:szCs w:val="24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,Schriftart: 9 pt,Schriftart: 10 pt,Schriftart: 8 pt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</w:rPr>
  </w:style>
  <w:style w:type="character" w:customStyle="1" w:styleId="LbjegyzetszvegChar">
    <w:name w:val="Lábjegyzetszöveg Char"/>
    <w:aliases w:val="Footnote Char,Schriftart: 9 pt Char,Schriftart: 10 pt Char,Schriftart: 8 pt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6A0E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8" ma:contentTypeDescription="Új dokumentum létrehozása." ma:contentTypeScope="" ma:versionID="6272e42c80dca50cd314fde369e307a4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7f3def3869b3931d198fd816e9d276fe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EF0939-BB7F-4BC0-90AE-1CFAB4EF6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  <ds:schemaRef ds:uri="6a8fe595-44f3-4778-92bc-a29712cbdae9"/>
  </ds:schemaRefs>
</ds:datastoreItem>
</file>

<file path=customXml/itemProps3.xml><?xml version="1.0" encoding="utf-8"?>
<ds:datastoreItem xmlns:ds="http://schemas.openxmlformats.org/officeDocument/2006/customXml" ds:itemID="{D607F2A8-46FD-4535-825C-A1B28403C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2645-d9b4-427f-8cb6-b0efc8948fa3"/>
    <ds:schemaRef ds:uri="6a8fe595-44f3-4778-92bc-a29712cbd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1124</Words>
  <Characters>7762</Characters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2016-09-16T10:05:00Z</cp:lastPrinted>
  <dcterms:created xsi:type="dcterms:W3CDTF">2024-04-18T07:40:00Z</dcterms:created>
  <dcterms:modified xsi:type="dcterms:W3CDTF">2024-04-23T05:50:00Z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